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FF" w:rsidRDefault="000A1DFF">
      <w:pPr>
        <w:widowControl/>
        <w:autoSpaceDE w:val="0"/>
        <w:autoSpaceDN w:val="0"/>
        <w:snapToGrid w:val="0"/>
        <w:spacing w:line="54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附件：</w:t>
      </w:r>
    </w:p>
    <w:p w:rsidR="00F605FF" w:rsidRDefault="000A1DFF">
      <w:pPr>
        <w:autoSpaceDE w:val="0"/>
        <w:autoSpaceDN w:val="0"/>
        <w:adjustRightInd w:val="0"/>
        <w:snapToGrid w:val="0"/>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泰州市交通工程</w:t>
      </w:r>
      <w:r>
        <w:rPr>
          <w:rFonts w:ascii="Times New Roman" w:eastAsia="方正小标宋简体" w:hAnsi="Times New Roman" w:hint="eastAsia"/>
          <w:sz w:val="44"/>
          <w:szCs w:val="44"/>
        </w:rPr>
        <w:t>招投标领域</w:t>
      </w:r>
    </w:p>
    <w:p w:rsidR="00F605FF" w:rsidRDefault="000A1DFF">
      <w:pPr>
        <w:autoSpaceDE w:val="0"/>
        <w:autoSpaceDN w:val="0"/>
        <w:adjustRightInd w:val="0"/>
        <w:snapToGrid w:val="0"/>
        <w:spacing w:line="540" w:lineRule="exact"/>
        <w:jc w:val="center"/>
        <w:rPr>
          <w:rFonts w:ascii="Times New Roman" w:hAnsi="Times New Roman"/>
          <w:b/>
          <w:bCs/>
          <w:spacing w:val="-20"/>
          <w:sz w:val="32"/>
          <w:szCs w:val="32"/>
        </w:rPr>
      </w:pPr>
      <w:r>
        <w:rPr>
          <w:rFonts w:ascii="Times New Roman" w:eastAsia="方正小标宋简体" w:hAnsi="Times New Roman" w:hint="eastAsia"/>
          <w:sz w:val="44"/>
          <w:szCs w:val="44"/>
        </w:rPr>
        <w:t>营商环境负面行为清单</w:t>
      </w:r>
    </w:p>
    <w:tbl>
      <w:tblPr>
        <w:tblW w:w="10473"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6"/>
        <w:gridCol w:w="5632"/>
        <w:gridCol w:w="4105"/>
      </w:tblGrid>
      <w:tr w:rsidR="00F605FF">
        <w:trPr>
          <w:trHeight w:val="526"/>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序号</w:t>
            </w:r>
          </w:p>
        </w:tc>
        <w:tc>
          <w:tcPr>
            <w:tcW w:w="5632" w:type="dxa"/>
            <w:noWrap/>
            <w:tcMar>
              <w:top w:w="15" w:type="dxa"/>
              <w:left w:w="15" w:type="dxa"/>
              <w:right w:w="15" w:type="dxa"/>
            </w:tcMar>
            <w:vAlign w:val="center"/>
          </w:tcPr>
          <w:p w:rsidR="00F605FF" w:rsidRDefault="000A1DFF">
            <w:pPr>
              <w:widowControl/>
              <w:jc w:val="center"/>
              <w:textAlignment w:val="center"/>
              <w:rPr>
                <w:rFonts w:ascii="Times New Roman" w:hAnsi="Times New Roman"/>
                <w:b/>
                <w:color w:val="000000"/>
                <w:sz w:val="24"/>
                <w:szCs w:val="24"/>
              </w:rPr>
            </w:pPr>
            <w:r>
              <w:rPr>
                <w:rFonts w:ascii="宋体" w:hAnsi="宋体" w:cs="宋体" w:hint="eastAsia"/>
                <w:b/>
                <w:color w:val="000000"/>
                <w:kern w:val="0"/>
                <w:sz w:val="24"/>
                <w:szCs w:val="24"/>
              </w:rPr>
              <w:t>负面行为内容</w:t>
            </w:r>
          </w:p>
        </w:tc>
        <w:tc>
          <w:tcPr>
            <w:tcW w:w="4105" w:type="dxa"/>
            <w:noWrap/>
            <w:tcMar>
              <w:top w:w="15" w:type="dxa"/>
              <w:left w:w="15" w:type="dxa"/>
              <w:right w:w="15" w:type="dxa"/>
            </w:tcMar>
            <w:vAlign w:val="center"/>
          </w:tcPr>
          <w:p w:rsidR="00F605FF" w:rsidRDefault="000A1DFF">
            <w:pPr>
              <w:widowControl/>
              <w:jc w:val="center"/>
              <w:textAlignment w:val="center"/>
              <w:rPr>
                <w:rFonts w:ascii="Times New Roman" w:hAnsi="Times New Roman"/>
                <w:b/>
                <w:color w:val="000000"/>
                <w:sz w:val="24"/>
                <w:szCs w:val="24"/>
              </w:rPr>
            </w:pPr>
            <w:r>
              <w:rPr>
                <w:rFonts w:ascii="宋体" w:hAnsi="宋体" w:cs="宋体" w:hint="eastAsia"/>
                <w:b/>
                <w:color w:val="000000"/>
                <w:kern w:val="0"/>
                <w:sz w:val="24"/>
                <w:szCs w:val="24"/>
              </w:rPr>
              <w:t>依据</w:t>
            </w:r>
          </w:p>
        </w:tc>
      </w:tr>
      <w:tr w:rsidR="00F605FF">
        <w:trPr>
          <w:trHeight w:val="1136"/>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按照国家有关规定需要履行项目审批、核准手续的依法必须进行招标的项目，其招标范围、招标方式、招标组织形式未报项目审批、核准部门审批、核准</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《中华人民共和国招标投标法》第九条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《中华人民共和国招标投标法实施条例》第七条　</w:t>
            </w:r>
          </w:p>
        </w:tc>
      </w:tr>
      <w:tr w:rsidR="00F605FF">
        <w:trPr>
          <w:trHeight w:val="717"/>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必须进行招标的项目而不招标，将依法必须进行招标的项目化整为零或者以其他任何方式规避招标</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 xml:space="preserve">《中华人民共和国招标投标法》第四十九条 </w:t>
            </w:r>
          </w:p>
        </w:tc>
      </w:tr>
      <w:tr w:rsidR="00F605FF">
        <w:trPr>
          <w:trHeight w:val="1049"/>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招标人以不合理的条件限制或者排斥潜在投标人，强制投标人组成联合体共同投标，限制投标人之间的竞争</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《中华人民共和国招标投标法》第五十一条</w:t>
            </w:r>
          </w:p>
        </w:tc>
      </w:tr>
      <w:tr w:rsidR="00F605FF">
        <w:trPr>
          <w:trHeight w:val="1049"/>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kern w:val="0"/>
                <w:sz w:val="24"/>
                <w:szCs w:val="24"/>
              </w:rPr>
            </w:pPr>
            <w:r>
              <w:rPr>
                <w:rFonts w:ascii="宋体" w:hAnsi="宋体" w:cs="宋体" w:hint="eastAsia"/>
                <w:kern w:val="0"/>
                <w:sz w:val="24"/>
                <w:szCs w:val="24"/>
              </w:rPr>
              <w:t>违法设置的限制、排斥不同所有制企业参与招投标的规定，以及虽然没有直接限制、排斥，但实质上起到变相限制、排斥效果的规定</w:t>
            </w:r>
          </w:p>
        </w:tc>
        <w:tc>
          <w:tcPr>
            <w:tcW w:w="4105" w:type="dxa"/>
            <w:vMerge w:val="restart"/>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《招标投标法》第十八条</w:t>
            </w:r>
          </w:p>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《中华人民共和国招标投标法实施条例》第三十二条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《优化营商环境条例》第十三条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《关于印发工程项目招投标领域营商环境专项整治工作方案的通知》（发改办法规〔2019〕862号） 二、整治范围和内容 （二）整治内容 第1、2、3、4、5、6、7、8项</w:t>
            </w:r>
          </w:p>
        </w:tc>
      </w:tr>
      <w:tr w:rsidR="00F605FF">
        <w:trPr>
          <w:trHeight w:val="1033"/>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设定的资格、技术、商务条件或者业绩、奖项要求与招标项目的具体特点和实际需要不相适应或者与合同履行无关</w:t>
            </w:r>
          </w:p>
        </w:tc>
        <w:tc>
          <w:tcPr>
            <w:tcW w:w="4105" w:type="dxa"/>
            <w:vMerge/>
            <w:noWrap/>
            <w:tcMar>
              <w:top w:w="15" w:type="dxa"/>
              <w:left w:w="15" w:type="dxa"/>
              <w:right w:w="15" w:type="dxa"/>
            </w:tcMar>
            <w:vAlign w:val="center"/>
          </w:tcPr>
          <w:p w:rsidR="00F605FF" w:rsidRDefault="00F605FF">
            <w:pPr>
              <w:widowControl/>
              <w:jc w:val="left"/>
              <w:textAlignment w:val="center"/>
              <w:rPr>
                <w:rFonts w:ascii="宋体" w:hAnsi="宋体" w:cs="宋体"/>
                <w:color w:val="000000"/>
                <w:sz w:val="24"/>
                <w:szCs w:val="24"/>
              </w:rPr>
            </w:pPr>
          </w:p>
        </w:tc>
      </w:tr>
      <w:tr w:rsidR="00F605FF">
        <w:trPr>
          <w:trHeight w:val="781"/>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6</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以特定行政区域或者特定行业的业绩、奖项作为资格条件、评分因素或者中标条件</w:t>
            </w:r>
          </w:p>
        </w:tc>
        <w:tc>
          <w:tcPr>
            <w:tcW w:w="4105" w:type="dxa"/>
            <w:vMerge/>
            <w:noWrap/>
            <w:tcMar>
              <w:top w:w="15" w:type="dxa"/>
              <w:left w:w="15" w:type="dxa"/>
              <w:right w:w="15" w:type="dxa"/>
            </w:tcMar>
            <w:vAlign w:val="center"/>
          </w:tcPr>
          <w:p w:rsidR="00F605FF" w:rsidRDefault="00F605FF">
            <w:pPr>
              <w:widowControl/>
              <w:textAlignment w:val="center"/>
              <w:rPr>
                <w:rFonts w:ascii="宋体" w:hAnsi="宋体" w:cs="宋体"/>
                <w:color w:val="000000"/>
                <w:kern w:val="0"/>
                <w:sz w:val="24"/>
                <w:szCs w:val="24"/>
              </w:rPr>
            </w:pPr>
          </w:p>
        </w:tc>
      </w:tr>
      <w:tr w:rsidR="00F605FF">
        <w:trPr>
          <w:trHeight w:val="903"/>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7</w:t>
            </w:r>
          </w:p>
        </w:tc>
        <w:tc>
          <w:tcPr>
            <w:tcW w:w="5632" w:type="dxa"/>
            <w:noWrap/>
            <w:tcMar>
              <w:top w:w="15" w:type="dxa"/>
              <w:left w:w="15" w:type="dxa"/>
              <w:right w:w="15" w:type="dxa"/>
            </w:tcMar>
            <w:vAlign w:val="center"/>
          </w:tcPr>
          <w:p w:rsidR="00F605FF" w:rsidRDefault="000A1DFF">
            <w:pPr>
              <w:rPr>
                <w:rFonts w:ascii="宋体" w:hAnsi="宋体" w:cs="宋体"/>
                <w:color w:val="000000"/>
                <w:sz w:val="24"/>
                <w:szCs w:val="24"/>
              </w:rPr>
            </w:pPr>
            <w:r>
              <w:rPr>
                <w:rFonts w:ascii="宋体" w:hAnsi="宋体" w:cs="宋体" w:hint="eastAsia"/>
                <w:color w:val="000000"/>
                <w:kern w:val="0"/>
                <w:sz w:val="24"/>
                <w:szCs w:val="24"/>
              </w:rPr>
              <w:t>限定或者指定特定的专利、商标、品牌、原产地、供应商或者检验检测认证机构（法律法规有明确要求的除外）</w:t>
            </w:r>
          </w:p>
        </w:tc>
        <w:tc>
          <w:tcPr>
            <w:tcW w:w="4105" w:type="dxa"/>
            <w:vMerge/>
            <w:noWrap/>
            <w:tcMar>
              <w:top w:w="15" w:type="dxa"/>
              <w:left w:w="15" w:type="dxa"/>
              <w:right w:w="15" w:type="dxa"/>
            </w:tcMar>
            <w:vAlign w:val="center"/>
          </w:tcPr>
          <w:p w:rsidR="00F605FF" w:rsidRDefault="00F605FF">
            <w:pPr>
              <w:widowControl/>
              <w:textAlignment w:val="center"/>
              <w:rPr>
                <w:rFonts w:ascii="宋体" w:hAnsi="宋体" w:cs="宋体"/>
                <w:color w:val="000000"/>
                <w:kern w:val="0"/>
                <w:sz w:val="24"/>
                <w:szCs w:val="24"/>
              </w:rPr>
            </w:pPr>
          </w:p>
        </w:tc>
      </w:tr>
      <w:tr w:rsidR="00F605FF">
        <w:trPr>
          <w:trHeight w:val="828"/>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8</w:t>
            </w:r>
          </w:p>
        </w:tc>
        <w:tc>
          <w:tcPr>
            <w:tcW w:w="5632" w:type="dxa"/>
            <w:noWrap/>
            <w:tcMar>
              <w:top w:w="15" w:type="dxa"/>
              <w:left w:w="15" w:type="dxa"/>
              <w:right w:w="15" w:type="dxa"/>
            </w:tcMar>
            <w:vAlign w:val="center"/>
          </w:tcPr>
          <w:p w:rsidR="00F605FF" w:rsidRDefault="000A1DFF">
            <w:pPr>
              <w:rPr>
                <w:rFonts w:ascii="宋体" w:hAnsi="宋体" w:cs="宋体"/>
                <w:color w:val="000000"/>
                <w:sz w:val="24"/>
                <w:szCs w:val="24"/>
              </w:rPr>
            </w:pPr>
            <w:r>
              <w:rPr>
                <w:rFonts w:ascii="宋体" w:hAnsi="宋体" w:cs="宋体" w:hint="eastAsia"/>
                <w:color w:val="000000"/>
                <w:kern w:val="0"/>
                <w:sz w:val="24"/>
                <w:szCs w:val="24"/>
              </w:rPr>
              <w:t>限定潜在投标人或者投标人的所有制形式或者组织形式，对不同所有制投标人采取不同的资格审查标准</w:t>
            </w:r>
          </w:p>
        </w:tc>
        <w:tc>
          <w:tcPr>
            <w:tcW w:w="4105" w:type="dxa"/>
            <w:vMerge/>
            <w:noWrap/>
            <w:tcMar>
              <w:top w:w="15" w:type="dxa"/>
              <w:left w:w="15" w:type="dxa"/>
              <w:right w:w="15" w:type="dxa"/>
            </w:tcMar>
            <w:vAlign w:val="center"/>
          </w:tcPr>
          <w:p w:rsidR="00F605FF" w:rsidRDefault="00F605FF">
            <w:pPr>
              <w:widowControl/>
              <w:jc w:val="left"/>
              <w:textAlignment w:val="center"/>
              <w:rPr>
                <w:rFonts w:ascii="宋体" w:hAnsi="宋体" w:cs="宋体"/>
                <w:color w:val="000000"/>
                <w:kern w:val="0"/>
                <w:sz w:val="24"/>
                <w:szCs w:val="24"/>
              </w:rPr>
            </w:pPr>
          </w:p>
        </w:tc>
      </w:tr>
      <w:tr w:rsidR="00F605FF">
        <w:trPr>
          <w:trHeight w:val="465"/>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9</w:t>
            </w:r>
          </w:p>
        </w:tc>
        <w:tc>
          <w:tcPr>
            <w:tcW w:w="5632" w:type="dxa"/>
            <w:noWrap/>
            <w:tcMar>
              <w:top w:w="15" w:type="dxa"/>
              <w:left w:w="15" w:type="dxa"/>
              <w:right w:w="15" w:type="dxa"/>
            </w:tcMar>
            <w:vAlign w:val="center"/>
          </w:tcPr>
          <w:p w:rsidR="00F605FF" w:rsidRDefault="000A1DFF">
            <w:pPr>
              <w:rPr>
                <w:rFonts w:ascii="宋体" w:hAnsi="宋体" w:cs="宋体"/>
                <w:color w:val="000000"/>
                <w:sz w:val="24"/>
                <w:szCs w:val="24"/>
              </w:rPr>
            </w:pPr>
            <w:r>
              <w:rPr>
                <w:rFonts w:ascii="宋体" w:hAnsi="宋体" w:cs="宋体" w:hint="eastAsia"/>
                <w:color w:val="000000"/>
                <w:kern w:val="0"/>
                <w:sz w:val="24"/>
                <w:szCs w:val="24"/>
              </w:rPr>
              <w:t>将政府部门、行业协会商会或者其他机构对投标人作出的荣誉奖励和慈善公益证明等作为资格条件、中标条件</w:t>
            </w:r>
          </w:p>
        </w:tc>
        <w:tc>
          <w:tcPr>
            <w:tcW w:w="4105" w:type="dxa"/>
            <w:vMerge/>
            <w:noWrap/>
            <w:tcMar>
              <w:top w:w="15" w:type="dxa"/>
              <w:left w:w="15" w:type="dxa"/>
              <w:right w:w="15" w:type="dxa"/>
            </w:tcMar>
            <w:vAlign w:val="center"/>
          </w:tcPr>
          <w:p w:rsidR="00F605FF" w:rsidRDefault="00F605FF">
            <w:pPr>
              <w:widowControl/>
              <w:jc w:val="left"/>
              <w:textAlignment w:val="center"/>
              <w:rPr>
                <w:rFonts w:ascii="宋体" w:hAnsi="宋体" w:cs="宋体"/>
                <w:color w:val="000000"/>
                <w:kern w:val="0"/>
                <w:sz w:val="24"/>
                <w:szCs w:val="24"/>
              </w:rPr>
            </w:pPr>
          </w:p>
        </w:tc>
      </w:tr>
      <w:tr w:rsidR="00F605FF">
        <w:trPr>
          <w:trHeight w:val="465"/>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10</w:t>
            </w:r>
          </w:p>
        </w:tc>
        <w:tc>
          <w:tcPr>
            <w:tcW w:w="5632" w:type="dxa"/>
            <w:noWrap/>
            <w:tcMar>
              <w:top w:w="15" w:type="dxa"/>
              <w:left w:w="15" w:type="dxa"/>
              <w:right w:w="15" w:type="dxa"/>
            </w:tcMar>
            <w:vAlign w:val="center"/>
          </w:tcPr>
          <w:p w:rsidR="00F605FF" w:rsidRDefault="000A1DFF">
            <w:pPr>
              <w:rPr>
                <w:rFonts w:ascii="宋体" w:hAnsi="宋体" w:cs="宋体"/>
                <w:color w:val="000000"/>
                <w:kern w:val="0"/>
                <w:sz w:val="24"/>
                <w:szCs w:val="24"/>
              </w:rPr>
            </w:pPr>
            <w:r>
              <w:rPr>
                <w:rFonts w:ascii="宋体" w:hAnsi="宋体" w:cs="宋体" w:hint="eastAsia"/>
                <w:color w:val="000000"/>
                <w:kern w:val="0"/>
                <w:sz w:val="24"/>
                <w:szCs w:val="24"/>
              </w:rPr>
              <w:t>将国家已经命令取消的资质资格作为投标条件、加分条件、中标条件；在国家已经命令取消资格资质条件的领域，将其他资质资格作为投标条件、加分条件、中标条件</w:t>
            </w:r>
          </w:p>
        </w:tc>
        <w:tc>
          <w:tcPr>
            <w:tcW w:w="4105" w:type="dxa"/>
            <w:vMerge/>
            <w:noWrap/>
            <w:tcMar>
              <w:top w:w="15" w:type="dxa"/>
              <w:left w:w="15" w:type="dxa"/>
              <w:right w:w="15" w:type="dxa"/>
            </w:tcMar>
            <w:vAlign w:val="center"/>
          </w:tcPr>
          <w:p w:rsidR="00F605FF" w:rsidRDefault="00F605FF">
            <w:pPr>
              <w:widowControl/>
              <w:jc w:val="left"/>
              <w:textAlignment w:val="center"/>
              <w:rPr>
                <w:rFonts w:ascii="宋体" w:hAnsi="宋体" w:cs="宋体"/>
                <w:color w:val="000000"/>
                <w:kern w:val="0"/>
                <w:sz w:val="24"/>
                <w:szCs w:val="24"/>
              </w:rPr>
            </w:pPr>
          </w:p>
        </w:tc>
      </w:tr>
      <w:tr w:rsidR="00F605FF">
        <w:trPr>
          <w:trHeight w:val="465"/>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11</w:t>
            </w:r>
          </w:p>
        </w:tc>
        <w:tc>
          <w:tcPr>
            <w:tcW w:w="5632" w:type="dxa"/>
            <w:noWrap/>
            <w:tcMar>
              <w:top w:w="15" w:type="dxa"/>
              <w:left w:w="15" w:type="dxa"/>
              <w:right w:w="15" w:type="dxa"/>
            </w:tcMar>
            <w:vAlign w:val="center"/>
          </w:tcPr>
          <w:p w:rsidR="00F605FF" w:rsidRDefault="000A1DFF">
            <w:pPr>
              <w:rPr>
                <w:rFonts w:ascii="宋体" w:hAnsi="宋体" w:cs="宋体"/>
                <w:color w:val="000000"/>
                <w:kern w:val="0"/>
                <w:sz w:val="24"/>
                <w:szCs w:val="24"/>
              </w:rPr>
            </w:pPr>
            <w:r>
              <w:rPr>
                <w:rFonts w:ascii="宋体" w:hAnsi="宋体" w:cs="宋体" w:hint="eastAsia"/>
                <w:color w:val="000000"/>
                <w:kern w:val="0"/>
                <w:sz w:val="24"/>
                <w:szCs w:val="24"/>
              </w:rPr>
              <w:t>要求投标人在本地注册设立子公司、分公司、分支机</w:t>
            </w:r>
            <w:r>
              <w:rPr>
                <w:rFonts w:ascii="宋体" w:hAnsi="宋体" w:cs="宋体" w:hint="eastAsia"/>
                <w:color w:val="000000"/>
                <w:kern w:val="0"/>
                <w:sz w:val="24"/>
                <w:szCs w:val="24"/>
              </w:rPr>
              <w:lastRenderedPageBreak/>
              <w:t>构，在本地拥有一定办公面积，在本地缴纳社会保险等</w:t>
            </w:r>
          </w:p>
        </w:tc>
        <w:tc>
          <w:tcPr>
            <w:tcW w:w="4105" w:type="dxa"/>
            <w:vMerge/>
            <w:noWrap/>
            <w:tcMar>
              <w:top w:w="15" w:type="dxa"/>
              <w:left w:w="15" w:type="dxa"/>
              <w:right w:w="15" w:type="dxa"/>
            </w:tcMar>
            <w:vAlign w:val="center"/>
          </w:tcPr>
          <w:p w:rsidR="00F605FF" w:rsidRDefault="00F605FF">
            <w:pPr>
              <w:widowControl/>
              <w:jc w:val="left"/>
              <w:textAlignment w:val="center"/>
              <w:rPr>
                <w:rFonts w:ascii="宋体" w:hAnsi="宋体" w:cs="宋体"/>
                <w:color w:val="000000"/>
                <w:kern w:val="0"/>
                <w:sz w:val="24"/>
                <w:szCs w:val="24"/>
              </w:rPr>
            </w:pPr>
          </w:p>
        </w:tc>
      </w:tr>
      <w:tr w:rsidR="00F605FF">
        <w:trPr>
          <w:trHeight w:val="827"/>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12</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招标公告应当载明的内容不全</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《中华人民共和国招标投标法实施条例》第十六条</w:t>
            </w:r>
          </w:p>
        </w:tc>
      </w:tr>
      <w:tr w:rsidR="00F605FF">
        <w:trPr>
          <w:trHeight w:val="1400"/>
        </w:trPr>
        <w:tc>
          <w:tcPr>
            <w:tcW w:w="736" w:type="dxa"/>
            <w:noWrap/>
            <w:tcMar>
              <w:top w:w="15" w:type="dxa"/>
              <w:left w:w="15" w:type="dxa"/>
              <w:right w:w="15" w:type="dxa"/>
            </w:tcMar>
            <w:vAlign w:val="center"/>
          </w:tcPr>
          <w:p w:rsidR="00F605FF" w:rsidRDefault="000A1DFF">
            <w:pPr>
              <w:jc w:val="center"/>
              <w:rPr>
                <w:rFonts w:ascii="宋体" w:hAnsi="宋体" w:cs="宋体"/>
                <w:color w:val="000000"/>
                <w:sz w:val="24"/>
                <w:szCs w:val="24"/>
              </w:rPr>
            </w:pPr>
            <w:r>
              <w:rPr>
                <w:rFonts w:ascii="宋体" w:hAnsi="宋体" w:cs="宋体" w:hint="eastAsia"/>
                <w:color w:val="000000"/>
                <w:sz w:val="24"/>
                <w:szCs w:val="24"/>
              </w:rPr>
              <w:t>13</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设定最低限价（国家或地方有强制最低价格标准的除外）</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《中华人民共和国招标投标法实施条例》第二十七条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《工程建设项目施工招标投标办法》第三十四条</w:t>
            </w:r>
          </w:p>
        </w:tc>
      </w:tr>
      <w:tr w:rsidR="00F605FF">
        <w:trPr>
          <w:trHeight w:val="86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14</w:t>
            </w:r>
          </w:p>
        </w:tc>
        <w:tc>
          <w:tcPr>
            <w:tcW w:w="5632" w:type="dxa"/>
            <w:noWrap/>
            <w:tcMar>
              <w:top w:w="15" w:type="dxa"/>
              <w:left w:w="15" w:type="dxa"/>
              <w:right w:w="15" w:type="dxa"/>
            </w:tcMar>
            <w:vAlign w:val="center"/>
          </w:tcPr>
          <w:p w:rsidR="00F605FF" w:rsidRDefault="000A1DFF">
            <w:pPr>
              <w:jc w:val="left"/>
              <w:rPr>
                <w:rFonts w:ascii="宋体" w:hAnsi="宋体" w:cs="宋体"/>
                <w:color w:val="000000"/>
                <w:sz w:val="24"/>
                <w:szCs w:val="24"/>
              </w:rPr>
            </w:pPr>
            <w:r>
              <w:rPr>
                <w:rFonts w:ascii="宋体" w:hAnsi="宋体" w:cs="宋体" w:hint="eastAsia"/>
                <w:color w:val="000000"/>
                <w:sz w:val="24"/>
                <w:szCs w:val="24"/>
              </w:rPr>
              <w:t>招标人对已发出的招标公告、招标文件中资格审查条件、标准和方法、评标标准和方法以及资格合格条件和否决性条件进行修改的，未重新发布公告</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《省交通运输厅关于进一步规范公路水运工程建设项目招标投标活动的通知》</w:t>
            </w:r>
          </w:p>
        </w:tc>
      </w:tr>
      <w:tr w:rsidR="00F605FF">
        <w:trPr>
          <w:trHeight w:val="1475"/>
        </w:trPr>
        <w:tc>
          <w:tcPr>
            <w:tcW w:w="736" w:type="dxa"/>
            <w:vMerge w:val="restart"/>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15</w:t>
            </w:r>
          </w:p>
        </w:tc>
        <w:tc>
          <w:tcPr>
            <w:tcW w:w="5632" w:type="dxa"/>
            <w:vMerge w:val="restart"/>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对已发出的招标文件进行必要的澄清或者修改，且澄清或者修改的内容可能影响投标文件编制的，未在招标文件要求提交投标文件截止时间至少十五日前，以书面形式通知所有招标文件收受人</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《中华人民共和国招标投标法》第二十三条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《中华人民共和国招标投标法实施条例》第二十一条</w:t>
            </w:r>
          </w:p>
        </w:tc>
      </w:tr>
      <w:tr w:rsidR="00F605FF">
        <w:trPr>
          <w:trHeight w:val="133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16</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招标人设有最高投标限价的，未在招标文件中明确最高投标限价或者最高投标限价的计算方法</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《中华人民共和国招标投标法实施条例》第二十七条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《工程建设项目施工招标投标办法》第三十四条</w:t>
            </w:r>
          </w:p>
        </w:tc>
      </w:tr>
      <w:tr w:rsidR="00F605FF">
        <w:trPr>
          <w:trHeight w:val="68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依法必须进行招标的项目，自招标文件开始发出之日起至投标人提交投标文件截止之日止，少于二十日</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《中华人民共和国招标投标法》第二十四条</w:t>
            </w:r>
          </w:p>
        </w:tc>
      </w:tr>
      <w:tr w:rsidR="00F605FF">
        <w:trPr>
          <w:trHeight w:val="94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18</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kern w:val="0"/>
                <w:sz w:val="24"/>
                <w:szCs w:val="24"/>
              </w:rPr>
              <w:t>招标人在招标文件中要求投标人提交投标保证金的，投标保证金超过招标项目估算价的2%</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《中华人民共和国招标投标法实施条例》第二十六条</w:t>
            </w:r>
          </w:p>
        </w:tc>
      </w:tr>
      <w:tr w:rsidR="00F605FF">
        <w:trPr>
          <w:trHeight w:val="738"/>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kern w:val="0"/>
                <w:sz w:val="24"/>
                <w:szCs w:val="24"/>
              </w:rPr>
              <w:t>招标人在招标文件中要求投标人提交履约保证金的，履约保证金超过中标合同金额的10%</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《中华人民共和国招标投标法实施条例》第五十八条</w:t>
            </w:r>
          </w:p>
        </w:tc>
      </w:tr>
      <w:tr w:rsidR="00F605FF">
        <w:trPr>
          <w:trHeight w:val="738"/>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限定投标保证金、履约保证金只能以现金等特定形式提交，或者不按规定或者合同约定退还保证金</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《关于印发工程项目招投标领域营商环境专项整治工作方案的通知》（发改办法规〔2019〕862号）二、整治范围和内容 （二）整治内容 第15项</w:t>
            </w:r>
          </w:p>
        </w:tc>
      </w:tr>
      <w:tr w:rsidR="00F605FF">
        <w:trPr>
          <w:trHeight w:val="3322"/>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21</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在开标环节要求投标人的法定代表人必须到场，不接受经授权委托的投标人代表到场</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《公路工程施工招标投标管理办法》第三十六条</w:t>
            </w:r>
          </w:p>
          <w:p w:rsidR="00F605FF" w:rsidRDefault="000A1DFF">
            <w:pPr>
              <w:widowControl/>
              <w:textAlignment w:val="center"/>
              <w:rPr>
                <w:rFonts w:ascii="Times New Roman" w:hAnsi="Times New Roman"/>
                <w:color w:val="000000"/>
                <w:sz w:val="24"/>
                <w:szCs w:val="24"/>
              </w:rPr>
            </w:pPr>
            <w:r>
              <w:rPr>
                <w:rFonts w:ascii="宋体" w:hAnsi="宋体" w:cs="宋体" w:hint="eastAsia"/>
                <w:color w:val="000000"/>
                <w:kern w:val="0"/>
                <w:sz w:val="24"/>
                <w:szCs w:val="24"/>
              </w:rPr>
              <w:t>《水运工程建设项目招标投标管理办法》第四十四条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《关于印发工程项目招投标领域营商环境专项整治工作方案的通知》（发改办法规〔2019〕862号）二、整治范围和内容 （二）整治内容 第11项</w:t>
            </w:r>
          </w:p>
        </w:tc>
      </w:tr>
      <w:tr w:rsidR="00F605FF">
        <w:trPr>
          <w:trHeight w:val="1487"/>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评标专家对不同所有制投标人打分畸高或畸低，且无法说明正当理由</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《关于印发工程项目招投标领域营商环境专项整治工作方案的通知》（发改办法规〔2019〕862号）二、整治范围和内容 （二）整治内容 第12项</w:t>
            </w:r>
          </w:p>
        </w:tc>
      </w:tr>
      <w:tr w:rsidR="00F605FF">
        <w:trPr>
          <w:trHeight w:val="2035"/>
        </w:trPr>
        <w:tc>
          <w:tcPr>
            <w:tcW w:w="736" w:type="dxa"/>
            <w:vMerge w:val="restart"/>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23</w:t>
            </w:r>
          </w:p>
        </w:tc>
        <w:tc>
          <w:tcPr>
            <w:tcW w:w="5632" w:type="dxa"/>
            <w:vMerge w:val="restart"/>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明示或暗示评标专家对不同所有制投标人采取不同的评标标准、实施不客观公正评价</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《中华人民共和国招标投标法实施条例》第四十八条、第四十九条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《关于印发工程项目招投标领域营商环境专项整治工作方案的通知》（发改办法规〔2019〕862号）二、整治范围和内容 （二）整治内容 第13项</w:t>
            </w:r>
          </w:p>
        </w:tc>
      </w:tr>
      <w:tr w:rsidR="00F605FF">
        <w:trPr>
          <w:trHeight w:val="2698"/>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依法必须进行招标的项目，采用抽签、摇号等方式直接确定中标候选人</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《中华人民共和国招标投标法》第四十一条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《公路工程建设项目招标投标管理办法》第二十八条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《关于印发工程项目招投标领域营商环境专项整治工作方案的通知》（发改办法规〔2019〕862号）二、整治范围和内容 （二）整治内容 第14项</w:t>
            </w:r>
          </w:p>
        </w:tc>
      </w:tr>
      <w:tr w:rsidR="00F605FF">
        <w:trPr>
          <w:trHeight w:val="782"/>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25</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依法必须招标项目，中标候选人公示期少于3日</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kern w:val="36"/>
                <w:sz w:val="24"/>
                <w:szCs w:val="24"/>
              </w:rPr>
              <w:t>《中华人民共和国招标投标法实施条例》第五十四条</w:t>
            </w:r>
          </w:p>
        </w:tc>
      </w:tr>
      <w:tr w:rsidR="00F605FF">
        <w:trPr>
          <w:trHeight w:val="143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国有资金占控股或者主导地位的依法必须进行招标的项目，未按照规定确定中标人</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《中华人民共和国招标投标法实施条例》第五十五条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《工程建设项目施工招标投标办法》第五十八条 </w:t>
            </w:r>
          </w:p>
        </w:tc>
      </w:tr>
      <w:tr w:rsidR="00F605FF">
        <w:trPr>
          <w:trHeight w:val="865"/>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27</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招标人无正当理由不发出中标通知书</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《中华人民共和国招标投标法实施条例》第七十三条</w:t>
            </w:r>
          </w:p>
        </w:tc>
      </w:tr>
      <w:tr w:rsidR="00F605FF">
        <w:trPr>
          <w:trHeight w:val="1490"/>
        </w:trPr>
        <w:tc>
          <w:tcPr>
            <w:tcW w:w="736" w:type="dxa"/>
            <w:vMerge w:val="restart"/>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5632" w:type="dxa"/>
            <w:vMerge w:val="restart"/>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招标人与中标人不按照招标文件和中标人的投标文件订立合同</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《中华人民共和国招标投标法》第五十九条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《中华人民共和国招标投标法实施条例》第七十五条</w:t>
            </w:r>
          </w:p>
        </w:tc>
      </w:tr>
      <w:tr w:rsidR="00F605FF">
        <w:trPr>
          <w:trHeight w:val="1908"/>
        </w:trPr>
        <w:tc>
          <w:tcPr>
            <w:tcW w:w="736" w:type="dxa"/>
            <w:vMerge w:val="restart"/>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w:t>
            </w:r>
          </w:p>
        </w:tc>
        <w:tc>
          <w:tcPr>
            <w:tcW w:w="5632" w:type="dxa"/>
            <w:vMerge w:val="restart"/>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招标人和中标人再行订立背离合同实质性内容的其他协议</w:t>
            </w:r>
          </w:p>
        </w:tc>
        <w:tc>
          <w:tcPr>
            <w:tcW w:w="4105" w:type="dxa"/>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《中华人民共和国招标投标法》第四十六条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《中华人民共和国招标投标法实施条例》第五十七条</w:t>
            </w:r>
          </w:p>
          <w:p w:rsidR="00F605FF" w:rsidRDefault="000A1DF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《工程建设项目施工招标投标办法》第六十二条 </w:t>
            </w:r>
          </w:p>
        </w:tc>
      </w:tr>
      <w:tr w:rsidR="00F605FF">
        <w:trPr>
          <w:trHeight w:val="149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30</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招标人评标结束前直接或者间接向投标人泄露标底、评标委员会成员等信息</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《中华人民共和国招标投标法》第二十二条</w:t>
            </w:r>
          </w:p>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《中华人民共和国招标投标法实施条例》第四十一条</w:t>
            </w:r>
          </w:p>
        </w:tc>
      </w:tr>
      <w:tr w:rsidR="00F605FF">
        <w:trPr>
          <w:trHeight w:val="74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31</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招标人明示或者暗示投标人压低或者抬高投标报价</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《中华人民共和国招标投标法实施条例》第四十一条</w:t>
            </w:r>
          </w:p>
        </w:tc>
      </w:tr>
      <w:tr w:rsidR="00F605FF">
        <w:trPr>
          <w:trHeight w:val="86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32</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招标人向他人透露已获取招标文件的潜在投标人的名称、数量或者可能影响公平竞争的有关招标投标的其他情况的</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《中华人民共和国招标投标法》第二十二条</w:t>
            </w:r>
          </w:p>
        </w:tc>
      </w:tr>
      <w:tr w:rsidR="00F605FF">
        <w:trPr>
          <w:trHeight w:val="820"/>
        </w:trPr>
        <w:tc>
          <w:tcPr>
            <w:tcW w:w="736" w:type="dxa"/>
            <w:noWrap/>
            <w:tcMar>
              <w:top w:w="15" w:type="dxa"/>
              <w:left w:w="15" w:type="dxa"/>
              <w:right w:w="15" w:type="dxa"/>
            </w:tcMar>
            <w:vAlign w:val="center"/>
          </w:tcPr>
          <w:p w:rsidR="00F605FF" w:rsidRDefault="000A1DFF">
            <w:pPr>
              <w:widowControl/>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5632" w:type="dxa"/>
            <w:noWrap/>
            <w:tcMar>
              <w:top w:w="15" w:type="dxa"/>
              <w:left w:w="15" w:type="dxa"/>
              <w:right w:w="15" w:type="dxa"/>
            </w:tcMar>
            <w:vAlign w:val="center"/>
          </w:tcPr>
          <w:p w:rsidR="00F605FF" w:rsidRDefault="000A1DFF">
            <w:pPr>
              <w:widowControl/>
              <w:jc w:val="left"/>
              <w:textAlignment w:val="center"/>
              <w:rPr>
                <w:rFonts w:ascii="宋体" w:hAnsi="宋体" w:cs="宋体"/>
                <w:sz w:val="24"/>
                <w:szCs w:val="24"/>
              </w:rPr>
            </w:pPr>
            <w:r>
              <w:rPr>
                <w:rFonts w:ascii="宋体" w:hAnsi="宋体" w:cs="宋体" w:hint="eastAsia"/>
                <w:kern w:val="0"/>
                <w:sz w:val="24"/>
                <w:szCs w:val="24"/>
              </w:rPr>
              <w:t>非法干预或者影响评标过程和结果</w:t>
            </w:r>
          </w:p>
        </w:tc>
        <w:tc>
          <w:tcPr>
            <w:tcW w:w="4105" w:type="dxa"/>
            <w:noWrap/>
            <w:tcMar>
              <w:top w:w="15" w:type="dxa"/>
              <w:left w:w="15" w:type="dxa"/>
              <w:right w:w="15" w:type="dxa"/>
            </w:tcMar>
            <w:vAlign w:val="center"/>
          </w:tcPr>
          <w:p w:rsidR="00F605FF" w:rsidRDefault="000A1DFF">
            <w:pPr>
              <w:widowControl/>
              <w:textAlignment w:val="center"/>
              <w:rPr>
                <w:rFonts w:ascii="宋体" w:hAnsi="宋体" w:cs="宋体"/>
                <w:color w:val="000000"/>
                <w:sz w:val="24"/>
                <w:szCs w:val="24"/>
              </w:rPr>
            </w:pPr>
            <w:r>
              <w:rPr>
                <w:rFonts w:ascii="宋体" w:hAnsi="宋体" w:cs="宋体" w:hint="eastAsia"/>
                <w:color w:val="000000"/>
                <w:kern w:val="0"/>
                <w:sz w:val="24"/>
                <w:szCs w:val="24"/>
              </w:rPr>
              <w:t>《中华人民共和国招标投标法》第三十八条</w:t>
            </w:r>
          </w:p>
        </w:tc>
      </w:tr>
      <w:tr w:rsidR="00F605FF">
        <w:trPr>
          <w:trHeight w:val="1698"/>
        </w:trPr>
        <w:tc>
          <w:tcPr>
            <w:tcW w:w="10473" w:type="dxa"/>
            <w:gridSpan w:val="3"/>
            <w:noWrap/>
            <w:tcMar>
              <w:top w:w="15" w:type="dxa"/>
              <w:left w:w="15" w:type="dxa"/>
              <w:right w:w="15" w:type="dxa"/>
            </w:tcMar>
            <w:vAlign w:val="center"/>
          </w:tcPr>
          <w:p w:rsidR="00F605FF" w:rsidRDefault="000A1DFF">
            <w:pPr>
              <w:widowControl/>
              <w:jc w:val="left"/>
              <w:textAlignment w:val="center"/>
              <w:rPr>
                <w:rFonts w:ascii="宋体" w:hAnsi="宋体" w:cs="宋体"/>
                <w:color w:val="000000"/>
                <w:kern w:val="0"/>
                <w:sz w:val="24"/>
                <w:szCs w:val="24"/>
              </w:rPr>
            </w:pPr>
            <w:r>
              <w:rPr>
                <w:rFonts w:ascii="宋体" w:hAnsi="宋体" w:cs="宋体" w:hint="eastAsia"/>
                <w:b/>
                <w:color w:val="000000"/>
                <w:kern w:val="0"/>
                <w:sz w:val="24"/>
                <w:szCs w:val="24"/>
              </w:rPr>
              <w:t>注：</w:t>
            </w:r>
            <w:r>
              <w:rPr>
                <w:rFonts w:ascii="宋体" w:hAnsi="宋体" w:cs="宋体" w:hint="eastAsia"/>
                <w:color w:val="000000"/>
                <w:kern w:val="0"/>
                <w:sz w:val="24"/>
                <w:szCs w:val="24"/>
              </w:rPr>
              <w:t>1、负面行为清单所依据的法律、法规废止或修改后，负面行为清单相应内容将予以调整；</w:t>
            </w:r>
          </w:p>
          <w:p w:rsidR="00F605FF" w:rsidRDefault="000A1DFF">
            <w:pPr>
              <w:widowControl/>
              <w:numPr>
                <w:ilvl w:val="0"/>
                <w:numId w:val="1"/>
              </w:numPr>
              <w:ind w:firstLineChars="200" w:firstLine="480"/>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未列入本负面行为清单的，依然要遵守国家相关法律法规规定。</w:t>
            </w:r>
          </w:p>
        </w:tc>
      </w:tr>
    </w:tbl>
    <w:p w:rsidR="00F605FF" w:rsidRDefault="00F605FF">
      <w:pPr>
        <w:widowControl/>
        <w:shd w:val="clear" w:color="auto" w:fill="FFFFFF"/>
        <w:wordWrap w:val="0"/>
        <w:spacing w:line="360" w:lineRule="auto"/>
        <w:rPr>
          <w:rFonts w:ascii="Times New Roman" w:eastAsia="仿宋" w:hAnsi="Times New Roman"/>
          <w:sz w:val="30"/>
          <w:szCs w:val="30"/>
        </w:rPr>
      </w:pPr>
    </w:p>
    <w:sectPr w:rsidR="00F605FF" w:rsidSect="00F605FF">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5A" w:rsidRDefault="00E31C5A" w:rsidP="00F605FF">
      <w:r>
        <w:separator/>
      </w:r>
    </w:p>
  </w:endnote>
  <w:endnote w:type="continuationSeparator" w:id="1">
    <w:p w:rsidR="00E31C5A" w:rsidRDefault="00E31C5A" w:rsidP="00F60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FF" w:rsidRDefault="00B31ACA">
    <w:pPr>
      <w:pStyle w:val="a7"/>
    </w:pPr>
    <w:r>
      <w:pict>
        <v:shapetype id="_x0000_t202" coordsize="21600,21600" o:spt="202" path="m,l,21600r21600,l21600,xe">
          <v:stroke joinstyle="miter"/>
          <v:path gradientshapeok="t" o:connecttype="rect"/>
        </v:shapetype>
        <v:shape id="_x0000_s1026" type="#_x0000_t202" style="position:absolute;margin-left:1.1pt;margin-top:-38.15pt;width:441.5pt;height:50.3pt;z-index:1;mso-position-horizontal-relative:margin" o:gfxdata="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44a1wAAAAgBAAAPAAAAAAAAAAEAIAAAACIAAABkcnMvZG93bnJldi54&#10;bWxQSwECFAAUAAAACACHTuJA8JqRJDQCAABiBAAADgAAAAAAAAABACAAAAAmAQAAZHJzL2Uyb0Rv&#10;Yy54bWxQSwUGAAAAAAYABgBZAQAAzAUAAAAA&#10;" filled="f" stroked="f" strokeweight=".5pt">
          <v:textbox inset="0,0,0,0">
            <w:txbxContent>
              <w:p w:rsidR="00F605FF" w:rsidRDefault="00F605FF" w:rsidP="00DB3934">
                <w:pPr>
                  <w:pStyle w:val="a7"/>
                  <w:spacing w:line="400" w:lineRule="exact"/>
                  <w:ind w:rightChars="100" w:right="210"/>
                  <w:rPr>
                    <w:rFonts w:ascii="Times New Roman" w:eastAsia="方正仿宋_GBK" w:hAnsi="Times New Roman"/>
                    <w:sz w:val="21"/>
                    <w:szCs w:val="21"/>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5A" w:rsidRDefault="00E31C5A" w:rsidP="00F605FF">
      <w:r>
        <w:separator/>
      </w:r>
    </w:p>
  </w:footnote>
  <w:footnote w:type="continuationSeparator" w:id="1">
    <w:p w:rsidR="00E31C5A" w:rsidRDefault="00E31C5A" w:rsidP="00F60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A47279"/>
    <w:multiLevelType w:val="singleLevel"/>
    <w:tmpl w:val="CBA4727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28C"/>
    <w:rsid w:val="000057A7"/>
    <w:rsid w:val="000328E8"/>
    <w:rsid w:val="00056092"/>
    <w:rsid w:val="00063CC9"/>
    <w:rsid w:val="00073095"/>
    <w:rsid w:val="00080886"/>
    <w:rsid w:val="000A14E5"/>
    <w:rsid w:val="000A1DFF"/>
    <w:rsid w:val="000A45E4"/>
    <w:rsid w:val="000B5FDD"/>
    <w:rsid w:val="000D254B"/>
    <w:rsid w:val="000D4D6F"/>
    <w:rsid w:val="000F11E6"/>
    <w:rsid w:val="000F3F59"/>
    <w:rsid w:val="00117D31"/>
    <w:rsid w:val="00124531"/>
    <w:rsid w:val="00130D2B"/>
    <w:rsid w:val="00142657"/>
    <w:rsid w:val="00151462"/>
    <w:rsid w:val="00160989"/>
    <w:rsid w:val="001727E1"/>
    <w:rsid w:val="00182BA6"/>
    <w:rsid w:val="001C1BAB"/>
    <w:rsid w:val="001D0CED"/>
    <w:rsid w:val="001E7063"/>
    <w:rsid w:val="001F7EF7"/>
    <w:rsid w:val="00206919"/>
    <w:rsid w:val="00213E9A"/>
    <w:rsid w:val="0021668C"/>
    <w:rsid w:val="0023621B"/>
    <w:rsid w:val="00242443"/>
    <w:rsid w:val="0025174E"/>
    <w:rsid w:val="0026341D"/>
    <w:rsid w:val="00287B60"/>
    <w:rsid w:val="00292656"/>
    <w:rsid w:val="00293A01"/>
    <w:rsid w:val="00295B7B"/>
    <w:rsid w:val="002C2C0F"/>
    <w:rsid w:val="002D53C0"/>
    <w:rsid w:val="002E555C"/>
    <w:rsid w:val="002F4132"/>
    <w:rsid w:val="00314CDD"/>
    <w:rsid w:val="003325C5"/>
    <w:rsid w:val="00350513"/>
    <w:rsid w:val="003634D1"/>
    <w:rsid w:val="00374BAF"/>
    <w:rsid w:val="00374BCC"/>
    <w:rsid w:val="003768D7"/>
    <w:rsid w:val="00381869"/>
    <w:rsid w:val="00393733"/>
    <w:rsid w:val="003A07D1"/>
    <w:rsid w:val="003C5D94"/>
    <w:rsid w:val="003D2F2B"/>
    <w:rsid w:val="003F1A32"/>
    <w:rsid w:val="00424D40"/>
    <w:rsid w:val="00464853"/>
    <w:rsid w:val="00471207"/>
    <w:rsid w:val="00483A2D"/>
    <w:rsid w:val="004A0671"/>
    <w:rsid w:val="004A0D19"/>
    <w:rsid w:val="004B6538"/>
    <w:rsid w:val="004C1C29"/>
    <w:rsid w:val="004C5D5F"/>
    <w:rsid w:val="004D0CD5"/>
    <w:rsid w:val="004F067F"/>
    <w:rsid w:val="004F4ADE"/>
    <w:rsid w:val="004F628B"/>
    <w:rsid w:val="005148ED"/>
    <w:rsid w:val="00523290"/>
    <w:rsid w:val="00550228"/>
    <w:rsid w:val="00570673"/>
    <w:rsid w:val="005948E3"/>
    <w:rsid w:val="005954E0"/>
    <w:rsid w:val="005B34EF"/>
    <w:rsid w:val="005B5D1F"/>
    <w:rsid w:val="005E2382"/>
    <w:rsid w:val="006033FE"/>
    <w:rsid w:val="006323E1"/>
    <w:rsid w:val="006331A5"/>
    <w:rsid w:val="00646F52"/>
    <w:rsid w:val="00657F04"/>
    <w:rsid w:val="00660A97"/>
    <w:rsid w:val="00673592"/>
    <w:rsid w:val="00677099"/>
    <w:rsid w:val="00686C64"/>
    <w:rsid w:val="006933E9"/>
    <w:rsid w:val="006B171C"/>
    <w:rsid w:val="006C1C80"/>
    <w:rsid w:val="006C4144"/>
    <w:rsid w:val="007063CF"/>
    <w:rsid w:val="00727BBF"/>
    <w:rsid w:val="00746E78"/>
    <w:rsid w:val="007558BC"/>
    <w:rsid w:val="00763791"/>
    <w:rsid w:val="00787AA7"/>
    <w:rsid w:val="007B216A"/>
    <w:rsid w:val="007C59DE"/>
    <w:rsid w:val="007D3927"/>
    <w:rsid w:val="007E0D6B"/>
    <w:rsid w:val="007E5A76"/>
    <w:rsid w:val="007E5D35"/>
    <w:rsid w:val="007F6B7B"/>
    <w:rsid w:val="0080790B"/>
    <w:rsid w:val="00830489"/>
    <w:rsid w:val="00832B34"/>
    <w:rsid w:val="0083746E"/>
    <w:rsid w:val="00851754"/>
    <w:rsid w:val="008619B8"/>
    <w:rsid w:val="00877CE1"/>
    <w:rsid w:val="0089675B"/>
    <w:rsid w:val="008A67A6"/>
    <w:rsid w:val="008A7CC4"/>
    <w:rsid w:val="008C2848"/>
    <w:rsid w:val="008C2926"/>
    <w:rsid w:val="008E0E6E"/>
    <w:rsid w:val="00907269"/>
    <w:rsid w:val="00934271"/>
    <w:rsid w:val="0093635C"/>
    <w:rsid w:val="00941545"/>
    <w:rsid w:val="00952A05"/>
    <w:rsid w:val="00970C0B"/>
    <w:rsid w:val="00973089"/>
    <w:rsid w:val="00973637"/>
    <w:rsid w:val="0097472D"/>
    <w:rsid w:val="00981E27"/>
    <w:rsid w:val="009A5880"/>
    <w:rsid w:val="009A657B"/>
    <w:rsid w:val="009C5106"/>
    <w:rsid w:val="009F6D7F"/>
    <w:rsid w:val="00A30B3B"/>
    <w:rsid w:val="00A53434"/>
    <w:rsid w:val="00A71B7A"/>
    <w:rsid w:val="00A830C2"/>
    <w:rsid w:val="00A93080"/>
    <w:rsid w:val="00A94638"/>
    <w:rsid w:val="00A96594"/>
    <w:rsid w:val="00AE0090"/>
    <w:rsid w:val="00AE2696"/>
    <w:rsid w:val="00AF512B"/>
    <w:rsid w:val="00AF5A04"/>
    <w:rsid w:val="00B07765"/>
    <w:rsid w:val="00B12202"/>
    <w:rsid w:val="00B31ACA"/>
    <w:rsid w:val="00B71F9A"/>
    <w:rsid w:val="00B950C7"/>
    <w:rsid w:val="00B964E6"/>
    <w:rsid w:val="00BB5B57"/>
    <w:rsid w:val="00BB714E"/>
    <w:rsid w:val="00BC38B8"/>
    <w:rsid w:val="00BC7DDC"/>
    <w:rsid w:val="00BD025E"/>
    <w:rsid w:val="00BD7441"/>
    <w:rsid w:val="00BE415E"/>
    <w:rsid w:val="00C21DDB"/>
    <w:rsid w:val="00C22EAF"/>
    <w:rsid w:val="00C25D2D"/>
    <w:rsid w:val="00C411AA"/>
    <w:rsid w:val="00C42B8B"/>
    <w:rsid w:val="00C472FC"/>
    <w:rsid w:val="00C52643"/>
    <w:rsid w:val="00C72945"/>
    <w:rsid w:val="00C81620"/>
    <w:rsid w:val="00C83F40"/>
    <w:rsid w:val="00CB19BC"/>
    <w:rsid w:val="00CB1F9A"/>
    <w:rsid w:val="00CC032D"/>
    <w:rsid w:val="00CC5805"/>
    <w:rsid w:val="00CE3F14"/>
    <w:rsid w:val="00D31E56"/>
    <w:rsid w:val="00D3792E"/>
    <w:rsid w:val="00D61D92"/>
    <w:rsid w:val="00D81136"/>
    <w:rsid w:val="00D81CE1"/>
    <w:rsid w:val="00D95D11"/>
    <w:rsid w:val="00DA6278"/>
    <w:rsid w:val="00DB3934"/>
    <w:rsid w:val="00DE264E"/>
    <w:rsid w:val="00DE47B9"/>
    <w:rsid w:val="00E22C1D"/>
    <w:rsid w:val="00E27D2C"/>
    <w:rsid w:val="00E31C5A"/>
    <w:rsid w:val="00E3442F"/>
    <w:rsid w:val="00E51431"/>
    <w:rsid w:val="00E6084E"/>
    <w:rsid w:val="00E7327C"/>
    <w:rsid w:val="00E735FB"/>
    <w:rsid w:val="00E8028C"/>
    <w:rsid w:val="00E86BDB"/>
    <w:rsid w:val="00F00A40"/>
    <w:rsid w:val="00F34030"/>
    <w:rsid w:val="00F438F6"/>
    <w:rsid w:val="00F44D47"/>
    <w:rsid w:val="00F54319"/>
    <w:rsid w:val="00F605FF"/>
    <w:rsid w:val="00F73341"/>
    <w:rsid w:val="00F93C4A"/>
    <w:rsid w:val="00F94843"/>
    <w:rsid w:val="00FB319D"/>
    <w:rsid w:val="00FE1346"/>
    <w:rsid w:val="038A0E3F"/>
    <w:rsid w:val="059C4DE3"/>
    <w:rsid w:val="0D8A79F6"/>
    <w:rsid w:val="14D85CEF"/>
    <w:rsid w:val="177B62CE"/>
    <w:rsid w:val="1A6870AF"/>
    <w:rsid w:val="1D6F5BA4"/>
    <w:rsid w:val="202B2E38"/>
    <w:rsid w:val="20A04CD8"/>
    <w:rsid w:val="20EB4FC9"/>
    <w:rsid w:val="285D305D"/>
    <w:rsid w:val="286D1841"/>
    <w:rsid w:val="365148C4"/>
    <w:rsid w:val="3C033A1C"/>
    <w:rsid w:val="4E35629F"/>
    <w:rsid w:val="54E20658"/>
    <w:rsid w:val="55D72C7A"/>
    <w:rsid w:val="5719446D"/>
    <w:rsid w:val="5E282830"/>
    <w:rsid w:val="6329120F"/>
    <w:rsid w:val="691A1035"/>
    <w:rsid w:val="6C0D54B1"/>
    <w:rsid w:val="6E1D3873"/>
    <w:rsid w:val="74544852"/>
    <w:rsid w:val="7617685E"/>
    <w:rsid w:val="7CC8599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iPriority="0" w:unhideWhenUsed="0" w:qFormat="1"/>
    <w:lsdException w:name="Body Text Inden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05FF"/>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F605FF"/>
    <w:pPr>
      <w:widowControl/>
      <w:spacing w:before="60" w:line="360" w:lineRule="atLeast"/>
      <w:jc w:val="center"/>
    </w:pPr>
    <w:rPr>
      <w:rFonts w:eastAsia="华文新魏" w:hAnsi="宋体"/>
      <w:b/>
      <w:bCs/>
      <w:spacing w:val="80"/>
      <w:sz w:val="84"/>
    </w:rPr>
  </w:style>
  <w:style w:type="paragraph" w:styleId="a4">
    <w:name w:val="Title"/>
    <w:basedOn w:val="a"/>
    <w:next w:val="a"/>
    <w:qFormat/>
    <w:locked/>
    <w:rsid w:val="00F605FF"/>
    <w:pPr>
      <w:spacing w:before="240" w:after="60"/>
      <w:jc w:val="center"/>
      <w:outlineLvl w:val="0"/>
    </w:pPr>
    <w:rPr>
      <w:rFonts w:ascii="Cambria" w:hAnsi="Cambria"/>
      <w:b/>
      <w:bCs/>
      <w:sz w:val="32"/>
      <w:szCs w:val="32"/>
    </w:rPr>
  </w:style>
  <w:style w:type="paragraph" w:styleId="a5">
    <w:name w:val="Body Text Indent"/>
    <w:basedOn w:val="a"/>
    <w:uiPriority w:val="99"/>
    <w:semiHidden/>
    <w:unhideWhenUsed/>
    <w:qFormat/>
    <w:rsid w:val="00F605FF"/>
  </w:style>
  <w:style w:type="paragraph" w:styleId="a6">
    <w:name w:val="Balloon Text"/>
    <w:basedOn w:val="a"/>
    <w:link w:val="Char"/>
    <w:uiPriority w:val="99"/>
    <w:semiHidden/>
    <w:qFormat/>
    <w:rsid w:val="00F605FF"/>
    <w:rPr>
      <w:sz w:val="18"/>
      <w:szCs w:val="18"/>
    </w:rPr>
  </w:style>
  <w:style w:type="paragraph" w:styleId="a7">
    <w:name w:val="footer"/>
    <w:basedOn w:val="a"/>
    <w:link w:val="Char0"/>
    <w:uiPriority w:val="99"/>
    <w:qFormat/>
    <w:rsid w:val="00F605FF"/>
    <w:pPr>
      <w:tabs>
        <w:tab w:val="center" w:pos="4153"/>
        <w:tab w:val="right" w:pos="8306"/>
      </w:tabs>
      <w:snapToGrid w:val="0"/>
      <w:jc w:val="left"/>
    </w:pPr>
    <w:rPr>
      <w:sz w:val="18"/>
      <w:szCs w:val="18"/>
    </w:rPr>
  </w:style>
  <w:style w:type="paragraph" w:styleId="a8">
    <w:name w:val="header"/>
    <w:basedOn w:val="a"/>
    <w:link w:val="Char1"/>
    <w:uiPriority w:val="99"/>
    <w:qFormat/>
    <w:rsid w:val="00F605FF"/>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rsid w:val="00F60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8"/>
    <w:uiPriority w:val="99"/>
    <w:qFormat/>
    <w:locked/>
    <w:rsid w:val="00F605FF"/>
    <w:rPr>
      <w:rFonts w:cs="Times New Roman"/>
      <w:sz w:val="18"/>
      <w:szCs w:val="18"/>
    </w:rPr>
  </w:style>
  <w:style w:type="character" w:customStyle="1" w:styleId="Char0">
    <w:name w:val="页脚 Char"/>
    <w:basedOn w:val="a1"/>
    <w:link w:val="a7"/>
    <w:uiPriority w:val="99"/>
    <w:qFormat/>
    <w:locked/>
    <w:rsid w:val="00F605FF"/>
    <w:rPr>
      <w:rFonts w:cs="Times New Roman"/>
      <w:sz w:val="18"/>
      <w:szCs w:val="18"/>
    </w:rPr>
  </w:style>
  <w:style w:type="paragraph" w:styleId="aa">
    <w:name w:val="List Paragraph"/>
    <w:basedOn w:val="a"/>
    <w:uiPriority w:val="99"/>
    <w:qFormat/>
    <w:rsid w:val="00F605FF"/>
    <w:pPr>
      <w:ind w:firstLineChars="200" w:firstLine="420"/>
    </w:pPr>
  </w:style>
  <w:style w:type="character" w:customStyle="1" w:styleId="Char">
    <w:name w:val="批注框文本 Char"/>
    <w:basedOn w:val="a1"/>
    <w:link w:val="a6"/>
    <w:uiPriority w:val="99"/>
    <w:semiHidden/>
    <w:qFormat/>
    <w:locked/>
    <w:rsid w:val="00F605FF"/>
    <w:rPr>
      <w:rFonts w:cs="Times New Roman"/>
      <w:sz w:val="18"/>
      <w:szCs w:val="18"/>
    </w:rPr>
  </w:style>
  <w:style w:type="paragraph" w:customStyle="1" w:styleId="Default">
    <w:name w:val="Default"/>
    <w:uiPriority w:val="99"/>
    <w:qFormat/>
    <w:rsid w:val="00F605FF"/>
    <w:pPr>
      <w:widowControl w:val="0"/>
      <w:autoSpaceDE w:val="0"/>
      <w:autoSpaceDN w:val="0"/>
      <w:adjustRightInd w:val="0"/>
    </w:pPr>
    <w:rPr>
      <w:rFonts w:ascii="方正小标宋简体" w:eastAsia="方正小标宋简体" w:cs="方正小标宋简体"/>
      <w:color w:val="000000"/>
      <w:sz w:val="24"/>
      <w:szCs w:val="24"/>
    </w:rPr>
  </w:style>
  <w:style w:type="table" w:customStyle="1" w:styleId="1">
    <w:name w:val="网格型1"/>
    <w:uiPriority w:val="99"/>
    <w:qFormat/>
    <w:rsid w:val="00F60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qFormat/>
    <w:rsid w:val="00F60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F605FF"/>
    <w:pPr>
      <w:widowControl/>
      <w:spacing w:before="100" w:beforeAutospacing="1" w:after="100" w:afterAutospacing="1"/>
      <w:jc w:val="left"/>
    </w:pPr>
    <w:rPr>
      <w:rFonts w:ascii="宋体" w:hAnsi="宋体" w:cs="宋体"/>
      <w:kern w:val="0"/>
      <w:sz w:val="24"/>
    </w:rPr>
  </w:style>
  <w:style w:type="paragraph" w:customStyle="1" w:styleId="Bodytext1">
    <w:name w:val="Body text|1"/>
    <w:basedOn w:val="a"/>
    <w:qFormat/>
    <w:rsid w:val="00F605FF"/>
    <w:pPr>
      <w:spacing w:line="331"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市住建局关于印发《2020年“双随机一公开”监管工作实施方案》的通知</dc:title>
  <dc:creator>dell</dc:creator>
  <cp:lastModifiedBy>zfb</cp:lastModifiedBy>
  <cp:revision>4</cp:revision>
  <cp:lastPrinted>2021-07-26T02:51:00Z</cp:lastPrinted>
  <dcterms:created xsi:type="dcterms:W3CDTF">2021-05-25T01:17:00Z</dcterms:created>
  <dcterms:modified xsi:type="dcterms:W3CDTF">2021-08-24T09:00:00Z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EB562EAE5CF146469CCB5B5B79A31AF5</vt:lpwstr>
  </property>
  <property fmtid="{D5CDD505-2E9C-101B-9397-08002B2CF9AE}" pid="4" name="KSOSaveFontToCloudKey">
    <vt:lpwstr>430087430_cloud</vt:lpwstr>
  </property>
</Properties>
</file>